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ГРУНТОВКА ЭПОКСИДНАЯ ДВУХКОМПОНЕНТНАЯ КИСЛОТОСТОЙКАЯ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17781</wp:posOffset>
            </wp:positionH>
            <wp:positionV relativeFrom="paragraph">
              <wp:posOffset>5715</wp:posOffset>
            </wp:positionV>
            <wp:extent cx="3707130" cy="31819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318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KERATEKS EPOXY PRIMER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ОСНОВНЫЕ СФЕРЫ ПРИМЕНЕНИЯ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Двухкомпонентная эпоксидная высокоадгезионная грунтовка (праймер) с низкой вязкостью для бетонных, цементно-песчанных, металлических и других видов поверхностей. Применяется также для плотных, малопористых минеральных оснований. Проникая вглубь бетона, закрывает поры и упрочняет поверхность. Может использоваться в качестве финишного покрытия для обеспыливания бетонного основания без нанесения дополнительных слоев, а также в качестве инъекционного состава в складских, производственных, торговых, общественных помещениях, подземных паркингах, ангарах, на лестницах и тд. внутри и снаружи помещений.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ВНЕШНИЙ ВИД</w:t>
        <w:tab/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 А  - низковязкая полупрозрачная смола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 В  - низковязкий модифицированный отвердитель кофейного цвета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ОСНОВНЫЕ ХАРАКТЕРИСТИКИ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Низкая вязкость, Высокая адгезия, Высокая проникающая способность, Водостойкость, Высокая кислотостойкость, Универсальность, Легкость нанесения, быстрый набор прочности, Отсутствие резкого запаха, Высокая стойкость к истиранию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СРОК ГОДНОСТИ И УСЛОВИЯ ХРАНЕНИЯ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Хранить в заводской упаковке в сухих, отапливаемых помещениях отдельно от пищевых продуктов при температуре +5…+30С. Допускается хранение при отрицательных температурах. Охлажденную грунтовку перед использованием следует медленно нагреть до комнатной температуры.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ИСПОЛЬЗОВАНИЕ</w:t>
      </w:r>
    </w:p>
    <w:p w:rsidR="00000000" w:rsidDel="00000000" w:rsidP="00000000" w:rsidRDefault="00000000" w:rsidRPr="00000000" w14:paraId="00000012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Грунтовка наносится на сухую, очищенную от пыли бетонную поверхность без масляных пятен, цементного молочка, солей, топпингов, гидрофобизаторов и других веществ и загрязнений, снижающих адгезию, без остатков старых покрытий. Для нанесения грунтовки необходимо вскрыть упаковку, смешать смоляную часть (компонент А) с отвердителем (компонент В) в соотношении на 1 кг смоляной части 500 грамм отвердителя и тщательно перемешивать механическим способом электроинструментом на низких оборотах в течение не менее 3 минут. После перемешивания грунтовку необходимо сразу разлить на поверхность тонким слоем и распределить по поверхности валиком или резиновым шпателем. При нанесении грунтовки не допускается образование луж. Готовую грунтовку следует нанести в течение 20-30 минут. По свежей поверхности разрешается ходить в специальной обуви с шипами. В жаркую погоду рекомендуется грунтовку готовить порциями не более 2-3кг. Если бетонное основание пористое, то грунтовка может полностью впитаться, не образовав блестящей пленки. В этом случае необходимо нанести второй слой грунтовки. Второй и при необходимости последующие слои грунтовки наносится по липкому слою (Время «липкого слоя» при температуре 25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С – 40-45 минут). </w:t>
      </w:r>
    </w:p>
    <w:p w:rsidR="00000000" w:rsidDel="00000000" w:rsidP="00000000" w:rsidRDefault="00000000" w:rsidRPr="00000000" w14:paraId="00000013">
      <w:pPr>
        <w:tabs>
          <w:tab w:val="right" w:leader="none" w:pos="10317"/>
        </w:tabs>
        <w:spacing w:after="0" w:line="240" w:lineRule="auto"/>
        <w:jc w:val="both"/>
        <w:rPr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отверждении предыдущего слоя перед нанесением последующего необходимо провести абразивную обработку (микрошлифовку) загрунтованной поверхности шлифовальным аппаратом для увеличения адгезии между слоями грунтовки. После шлифовки поверхность очистить пылесосом и обезпылить ветошью смоченной в ацетоне.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неполном перемешивании компонентов на поверхности пола могут образовываться неотвержденные участки.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УТИЛИЗАЦИЯ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Компоненты А и B в несмешанном состоянии могут повлечь загрязнение водоемов. Не допускать попадания в канализацию, почву и грунтовые воды. Отвердевший состав опасности не представляет. </w:t>
      </w:r>
    </w:p>
    <w:p w:rsidR="00000000" w:rsidDel="00000000" w:rsidP="00000000" w:rsidRDefault="00000000" w:rsidRPr="00000000" w14:paraId="00000018">
      <w:pPr>
        <w:tabs>
          <w:tab w:val="left" w:leader="none" w:pos="4650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650"/>
        </w:tabs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МЕРЫ ПРЕДОСТОРОЖНОСТИ</w:t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Работы следует проводить в хорошо проветриваемом помещении, не следует допускать попадания материала на открытые участки кожи, в глаза и рот. При попадании в глаза необходимо промыть их большим количеством воды и обратиться к врачу. При проведении работ рекомендуется пользоваться специальной одеждой, защитными очками и перчатками.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ФИЗИКО-ХИМИЧЕСКИЕ И МЕХАНИЧЕСКИЕ ХАРАКТЕРИСТИКИ</w:t>
      </w:r>
    </w:p>
    <w:p w:rsidR="00000000" w:rsidDel="00000000" w:rsidP="00000000" w:rsidRDefault="00000000" w:rsidRPr="00000000" w14:paraId="0000001D">
      <w:pPr>
        <w:tabs>
          <w:tab w:val="center" w:leader="none" w:pos="732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Упаковка: канистра 10л (компонент А) + канистра 5л (компонент В)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Соотношение весовых частей (А + В): 100 + 50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Внешний вид компаунда (А+Б) – Жидкость кофейного цвета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Плотность готовой смеси – 1100 кг/м3</w:t>
      </w:r>
    </w:p>
    <w:p w:rsidR="00000000" w:rsidDel="00000000" w:rsidP="00000000" w:rsidRDefault="00000000" w:rsidRPr="00000000" w14:paraId="00000021">
      <w:pPr>
        <w:tabs>
          <w:tab w:val="center" w:leader="none" w:pos="7615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Содержание летучих веществ - до 7 %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жизни в массе 1 кг, при температуре +23* - не менее 60 минут</w:t>
      </w:r>
    </w:p>
    <w:p w:rsidR="00000000" w:rsidDel="00000000" w:rsidP="00000000" w:rsidRDefault="00000000" w:rsidRPr="00000000" w14:paraId="00000023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Адгезия к бетону марки М200: более 1,5 МПа (разрушение по бетону)</w:t>
      </w:r>
    </w:p>
    <w:p w:rsidR="00000000" w:rsidDel="00000000" w:rsidP="00000000" w:rsidRDefault="00000000" w:rsidRPr="00000000" w14:paraId="00000024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Адгезия к металлу: более 5,0 МПа</w:t>
      </w:r>
    </w:p>
    <w:p w:rsidR="00000000" w:rsidDel="00000000" w:rsidP="00000000" w:rsidRDefault="00000000" w:rsidRPr="00000000" w14:paraId="00000025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Расход грунтовки зависит от впитываемости основания:</w:t>
      </w:r>
    </w:p>
    <w:p w:rsidR="00000000" w:rsidDel="00000000" w:rsidP="00000000" w:rsidRDefault="00000000" w:rsidRPr="00000000" w14:paraId="00000026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(1кг/м2 при толщине слоя 1мм) *для бетона марки М200 расход составит - 200-300 г/м</w:t>
      </w:r>
    </w:p>
    <w:p w:rsidR="00000000" w:rsidDel="00000000" w:rsidP="00000000" w:rsidRDefault="00000000" w:rsidRPr="00000000" w14:paraId="00000027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Температурные условия нанесения от -5 до +30 С</w:t>
      </w:r>
    </w:p>
    <w:p w:rsidR="00000000" w:rsidDel="00000000" w:rsidP="00000000" w:rsidRDefault="00000000" w:rsidRPr="00000000" w14:paraId="00000028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Температурные условия эксплуатации -40…+100 С</w:t>
      </w:r>
    </w:p>
    <w:p w:rsidR="00000000" w:rsidDel="00000000" w:rsidP="00000000" w:rsidRDefault="00000000" w:rsidRPr="00000000" w14:paraId="00000029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«липкого слоя» при температуре 25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 </w:t>
      </w:r>
      <w:r w:rsidDel="00000000" w:rsidR="00000000" w:rsidRPr="00000000">
        <w:rPr>
          <w:sz w:val="26"/>
          <w:szCs w:val="26"/>
          <w:rtl w:val="0"/>
        </w:rPr>
        <w:t xml:space="preserve">С – 40-45 минут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высыхания «до отлипа» при температуре более 15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 </w:t>
      </w:r>
      <w:r w:rsidDel="00000000" w:rsidR="00000000" w:rsidRPr="00000000">
        <w:rPr>
          <w:sz w:val="26"/>
          <w:szCs w:val="26"/>
          <w:rtl w:val="0"/>
        </w:rPr>
        <w:t xml:space="preserve">С - не более 24 часов</w:t>
      </w:r>
    </w:p>
    <w:p w:rsidR="00000000" w:rsidDel="00000000" w:rsidP="00000000" w:rsidRDefault="00000000" w:rsidRPr="00000000" w14:paraId="0000002B">
      <w:pPr>
        <w:tabs>
          <w:tab w:val="center" w:leader="none" w:pos="7327"/>
        </w:tabs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Ударная вязкость по Шарпи, не менее - 15 кдж/м2</w:t>
      </w:r>
    </w:p>
    <w:p w:rsidR="00000000" w:rsidDel="00000000" w:rsidP="00000000" w:rsidRDefault="00000000" w:rsidRPr="00000000" w14:paraId="0000002C">
      <w:pPr>
        <w:tabs>
          <w:tab w:val="right" w:leader="none" w:pos="10317"/>
        </w:tabs>
        <w:spacing w:after="0" w:line="240" w:lineRule="auto"/>
        <w:jc w:val="both"/>
        <w:rPr>
          <w:sz w:val="26"/>
          <w:szCs w:val="26"/>
          <w:vertAlign w:val="superscript"/>
        </w:rPr>
      </w:pPr>
      <w:r w:rsidDel="00000000" w:rsidR="00000000" w:rsidRPr="00000000">
        <w:rPr>
          <w:sz w:val="26"/>
          <w:szCs w:val="26"/>
          <w:rtl w:val="0"/>
        </w:rPr>
        <w:t xml:space="preserve">Срок хранения – 24 мес в сухих условиях, в закрытой упаковке, при темп +5..+25С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993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